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52" w:rsidRDefault="00B923CD" w:rsidP="007B6E39">
      <w:pPr>
        <w:pStyle w:val="SectionTitle"/>
        <w:spacing w:after="0"/>
        <w:rPr>
          <w:sz w:val="24"/>
          <w:szCs w:val="24"/>
        </w:rPr>
      </w:pPr>
      <w:bookmarkStart w:id="0" w:name="_GoBack"/>
      <w:bookmarkEnd w:id="0"/>
      <w:r>
        <w:rPr>
          <w:b w:val="0"/>
          <w:noProof/>
          <w:lang w:bidi="ar-SA"/>
        </w:rPr>
        <w:drawing>
          <wp:inline distT="0" distB="0" distL="0" distR="0">
            <wp:extent cx="2005965" cy="1405890"/>
            <wp:effectExtent l="0" t="0" r="0" b="3810"/>
            <wp:docPr id="1" name="Picture 1" descr="logo_ce-en-rvb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-en-rvb-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52" w:rsidRDefault="00327E52" w:rsidP="00EC63C1">
      <w:pPr>
        <w:pStyle w:val="SectionTitle"/>
        <w:keepNext w:val="0"/>
        <w:spacing w:after="0"/>
        <w:rPr>
          <w:sz w:val="24"/>
          <w:szCs w:val="24"/>
        </w:rPr>
      </w:pPr>
    </w:p>
    <w:p w:rsidR="009D68D3" w:rsidRPr="008A6659" w:rsidRDefault="009D68D3" w:rsidP="009D68D3">
      <w:pPr>
        <w:pStyle w:val="SectionTitle"/>
        <w:spacing w:after="0"/>
        <w:rPr>
          <w:rFonts w:ascii="Verdana" w:hAnsi="Verdana"/>
          <w:color w:val="365F91"/>
          <w:sz w:val="24"/>
        </w:rPr>
      </w:pPr>
      <w:r w:rsidRPr="008A6659">
        <w:rPr>
          <w:rFonts w:ascii="Verdana" w:hAnsi="Verdana"/>
          <w:color w:val="365F91"/>
          <w:sz w:val="24"/>
        </w:rPr>
        <w:t xml:space="preserve">„KREATYWNA EUROPA” </w:t>
      </w:r>
    </w:p>
    <w:p w:rsidR="009D68D3" w:rsidRPr="008A6659" w:rsidRDefault="009D68D3" w:rsidP="009D68D3">
      <w:pPr>
        <w:pStyle w:val="SectionTitle"/>
        <w:spacing w:after="0"/>
        <w:rPr>
          <w:rFonts w:ascii="Verdana" w:hAnsi="Verdana"/>
          <w:color w:val="365F91"/>
          <w:sz w:val="24"/>
        </w:rPr>
      </w:pPr>
    </w:p>
    <w:p w:rsidR="009D68D3" w:rsidRPr="008A6659" w:rsidRDefault="009D68D3" w:rsidP="009D68D3">
      <w:pPr>
        <w:pStyle w:val="SectionTitle"/>
        <w:spacing w:after="0"/>
        <w:rPr>
          <w:rFonts w:ascii="Verdana" w:hAnsi="Verdana"/>
          <w:color w:val="365F91"/>
          <w:sz w:val="24"/>
          <w:szCs w:val="24"/>
        </w:rPr>
      </w:pPr>
      <w:r w:rsidRPr="008A6659">
        <w:rPr>
          <w:rFonts w:ascii="Verdana" w:hAnsi="Verdana"/>
          <w:color w:val="365F91"/>
          <w:sz w:val="24"/>
        </w:rPr>
        <w:t>podprogram MEDIA</w:t>
      </w:r>
    </w:p>
    <w:p w:rsidR="009D68D3" w:rsidRPr="008A6659" w:rsidRDefault="009D68D3" w:rsidP="009D68D3">
      <w:pPr>
        <w:pStyle w:val="Nagwek1"/>
        <w:spacing w:before="0" w:after="0"/>
        <w:rPr>
          <w:rFonts w:ascii="Verdana" w:hAnsi="Verdana"/>
          <w:color w:val="365F91"/>
        </w:rPr>
      </w:pPr>
    </w:p>
    <w:p w:rsidR="00327E52" w:rsidRDefault="009D68D3" w:rsidP="009D68D3">
      <w:pPr>
        <w:pStyle w:val="SectionTitle"/>
        <w:keepNext w:val="0"/>
        <w:spacing w:after="0"/>
        <w:rPr>
          <w:sz w:val="24"/>
          <w:szCs w:val="24"/>
        </w:rPr>
      </w:pPr>
      <w:r w:rsidRPr="008A6659">
        <w:rPr>
          <w:rFonts w:ascii="Verdana" w:hAnsi="Verdana"/>
          <w:color w:val="365F91"/>
          <w:sz w:val="24"/>
        </w:rPr>
        <w:t>Zaproszenie do składania wniosków</w:t>
      </w:r>
    </w:p>
    <w:p w:rsidR="00327E52" w:rsidRDefault="00327E52" w:rsidP="00EC63C1">
      <w:pPr>
        <w:pStyle w:val="SectionTitle"/>
        <w:keepNext w:val="0"/>
        <w:spacing w:after="0"/>
        <w:rPr>
          <w:sz w:val="24"/>
          <w:szCs w:val="24"/>
        </w:rPr>
      </w:pPr>
    </w:p>
    <w:p w:rsidR="001A3550" w:rsidRPr="00327E52" w:rsidRDefault="005E62A2" w:rsidP="00327E52">
      <w:pPr>
        <w:pStyle w:val="SectionTitle"/>
        <w:spacing w:after="0"/>
        <w:rPr>
          <w:sz w:val="24"/>
          <w:szCs w:val="24"/>
        </w:rPr>
      </w:pPr>
      <w:r>
        <w:rPr>
          <w:sz w:val="24"/>
        </w:rPr>
        <w:t>EACEA/06/2016:</w:t>
      </w:r>
      <w:r>
        <w:rPr>
          <w:b w:val="0"/>
          <w:sz w:val="24"/>
        </w:rPr>
        <w:t xml:space="preserve"> </w:t>
      </w:r>
      <w:r>
        <w:rPr>
          <w:sz w:val="24"/>
        </w:rPr>
        <w:t>Wspieranie szkoleń</w:t>
      </w:r>
    </w:p>
    <w:p w:rsidR="00F911A6" w:rsidRDefault="00F911A6" w:rsidP="00980C1E">
      <w:pPr>
        <w:pStyle w:val="Text1"/>
        <w:spacing w:after="0"/>
        <w:ind w:left="0"/>
        <w:rPr>
          <w:sz w:val="22"/>
          <w:szCs w:val="22"/>
        </w:rPr>
      </w:pPr>
    </w:p>
    <w:p w:rsidR="009D68D3" w:rsidRPr="005B452C" w:rsidRDefault="009D68D3" w:rsidP="009D68D3">
      <w:pPr>
        <w:spacing w:after="200" w:line="276" w:lineRule="auto"/>
        <w:jc w:val="both"/>
        <w:rPr>
          <w:rFonts w:ascii="Times New Roman" w:eastAsia="Calibri" w:hAnsi="Times New Roman"/>
          <w:b/>
        </w:rPr>
      </w:pPr>
      <w:r w:rsidRPr="005B452C">
        <w:rPr>
          <w:rFonts w:ascii="Times New Roman" w:hAnsi="Times New Roman"/>
          <w:b/>
        </w:rPr>
        <w:t>OSTRZEŻENIE:</w:t>
      </w:r>
    </w:p>
    <w:p w:rsidR="009D68D3" w:rsidRPr="005B452C" w:rsidRDefault="009D68D3" w:rsidP="009D68D3">
      <w:pPr>
        <w:jc w:val="both"/>
        <w:rPr>
          <w:rFonts w:ascii="Times New Roman" w:hAnsi="Times New Roman"/>
        </w:rPr>
      </w:pPr>
      <w:r w:rsidRPr="005B452C">
        <w:rPr>
          <w:rFonts w:ascii="Times New Roman" w:hAnsi="Times New Roman"/>
        </w:rPr>
        <w:t>Niniejsze zaproszenie do składania wniosków jest uzależnione od:</w:t>
      </w:r>
    </w:p>
    <w:p w:rsidR="009D68D3" w:rsidRPr="005B452C" w:rsidRDefault="009D68D3" w:rsidP="009D68D3">
      <w:pPr>
        <w:jc w:val="both"/>
        <w:rPr>
          <w:rFonts w:ascii="Times New Roman" w:hAnsi="Times New Roman"/>
        </w:rPr>
      </w:pPr>
      <w:r w:rsidRPr="005B452C">
        <w:rPr>
          <w:rFonts w:ascii="Times New Roman" w:hAnsi="Times New Roman"/>
        </w:rPr>
        <w:t xml:space="preserve"> </w:t>
      </w:r>
    </w:p>
    <w:p w:rsidR="009D68D3" w:rsidRPr="005B452C" w:rsidRDefault="009D68D3" w:rsidP="009D68D3">
      <w:pPr>
        <w:numPr>
          <w:ilvl w:val="0"/>
          <w:numId w:val="6"/>
        </w:numPr>
        <w:ind w:left="567" w:hanging="567"/>
        <w:jc w:val="both"/>
        <w:rPr>
          <w:rFonts w:ascii="Times New Roman" w:hAnsi="Times New Roman"/>
        </w:rPr>
      </w:pPr>
      <w:r w:rsidRPr="005B452C">
        <w:rPr>
          <w:rFonts w:ascii="Times New Roman" w:hAnsi="Times New Roman"/>
        </w:rPr>
        <w:t>dostępność środków po przyjęciu budżetu n</w:t>
      </w:r>
      <w:r>
        <w:rPr>
          <w:rFonts w:ascii="Times New Roman" w:hAnsi="Times New Roman"/>
        </w:rPr>
        <w:t>a rok 2016</w:t>
      </w:r>
      <w:r w:rsidRPr="005B452C">
        <w:rPr>
          <w:rFonts w:ascii="Times New Roman" w:hAnsi="Times New Roman"/>
        </w:rPr>
        <w:t xml:space="preserve"> przez władzę budżetową, </w:t>
      </w:r>
    </w:p>
    <w:p w:rsidR="009D68D3" w:rsidRPr="00271336" w:rsidRDefault="009D68D3" w:rsidP="009D68D3">
      <w:pPr>
        <w:suppressAutoHyphens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9D68D3" w:rsidRPr="00271336" w:rsidRDefault="009D68D3" w:rsidP="009D68D3">
      <w:pPr>
        <w:keepNext/>
        <w:tabs>
          <w:tab w:val="num" w:pos="480"/>
        </w:tabs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271336">
        <w:rPr>
          <w:rFonts w:ascii="Times New Roman" w:hAnsi="Times New Roman"/>
          <w:b/>
          <w:smallCaps/>
          <w:sz w:val="24"/>
        </w:rPr>
        <w:t>1.</w:t>
      </w:r>
      <w:r w:rsidRPr="00271336">
        <w:tab/>
      </w:r>
      <w:r w:rsidRPr="00271336">
        <w:rPr>
          <w:rFonts w:ascii="Times New Roman" w:hAnsi="Times New Roman"/>
          <w:b/>
          <w:smallCaps/>
          <w:sz w:val="24"/>
        </w:rPr>
        <w:t>Cele i opis</w:t>
      </w:r>
    </w:p>
    <w:p w:rsidR="009D68D3" w:rsidRPr="00271336" w:rsidRDefault="009D68D3" w:rsidP="009D68D3">
      <w:pPr>
        <w:keepNext/>
        <w:tabs>
          <w:tab w:val="num" w:pos="480"/>
        </w:tabs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9D68D3" w:rsidRPr="00271336" w:rsidRDefault="009D68D3" w:rsidP="009D68D3">
      <w:pPr>
        <w:pStyle w:val="Text1"/>
        <w:spacing w:after="0"/>
        <w:ind w:left="0"/>
        <w:rPr>
          <w:rFonts w:eastAsia="Arial Unicode MS"/>
          <w:sz w:val="22"/>
          <w:szCs w:val="22"/>
        </w:rPr>
      </w:pPr>
      <w:r w:rsidRPr="00E92B18">
        <w:rPr>
          <w:sz w:val="22"/>
        </w:rPr>
        <w:t xml:space="preserve">Podstawą niniejszego zaproszenia do składania wniosków jest rozporządzenie Parlamentu Europejskiego i Rady (UE) nr 1295/2013 z dnia 11 grudnia 2013 r. dotyczące wdrażania programu wsparcia na rzecz europejskiego sektora kultury i sektora </w:t>
      </w:r>
      <w:r>
        <w:rPr>
          <w:sz w:val="22"/>
        </w:rPr>
        <w:t>kreatywnego (KREATYWNA EUROPA)</w:t>
      </w:r>
      <w:r>
        <w:rPr>
          <w:rStyle w:val="Odwoanieprzypisudolnego"/>
          <w:sz w:val="22"/>
        </w:rPr>
        <w:footnoteReference w:id="1"/>
      </w:r>
      <w:r>
        <w:rPr>
          <w:sz w:val="22"/>
        </w:rPr>
        <w:t xml:space="preserve"> </w:t>
      </w:r>
      <w:r w:rsidRPr="00E92B18">
        <w:rPr>
          <w:sz w:val="22"/>
        </w:rPr>
        <w:t>oraz sprostowanie do n</w:t>
      </w:r>
      <w:r>
        <w:rPr>
          <w:sz w:val="22"/>
        </w:rPr>
        <w:t>iego z dnia 27 czerwca 2014 r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. </w:t>
      </w:r>
    </w:p>
    <w:p w:rsidR="009D68D3" w:rsidRDefault="009D68D3" w:rsidP="00980C1E">
      <w:pPr>
        <w:pStyle w:val="Text1"/>
        <w:spacing w:after="0"/>
        <w:ind w:left="0"/>
        <w:rPr>
          <w:sz w:val="22"/>
        </w:rPr>
      </w:pPr>
    </w:p>
    <w:p w:rsidR="00316868" w:rsidRDefault="00A110EA" w:rsidP="00980C1E">
      <w:pPr>
        <w:pStyle w:val="Text1"/>
        <w:spacing w:after="0"/>
        <w:ind w:left="0"/>
        <w:rPr>
          <w:sz w:val="22"/>
          <w:szCs w:val="22"/>
        </w:rPr>
      </w:pPr>
      <w:r>
        <w:rPr>
          <w:sz w:val="22"/>
        </w:rPr>
        <w:t>W dziedzinie wzmacniania zdolności sektora audiowizualnego jednym z priorytetów podprogramu MEDIA jest:</w:t>
      </w:r>
    </w:p>
    <w:p w:rsidR="00E1253A" w:rsidRDefault="00E1253A" w:rsidP="00E1253A">
      <w:pPr>
        <w:pStyle w:val="PointManual1"/>
        <w:autoSpaceDE w:val="0"/>
        <w:autoSpaceDN w:val="0"/>
        <w:adjustRightInd w:val="0"/>
        <w:spacing w:before="0" w:after="0" w:line="240" w:lineRule="auto"/>
        <w:ind w:left="709" w:firstLine="0"/>
        <w:rPr>
          <w:sz w:val="22"/>
          <w:szCs w:val="22"/>
        </w:rPr>
      </w:pPr>
    </w:p>
    <w:p w:rsidR="006C76A8" w:rsidRPr="00EC63C1" w:rsidRDefault="000749EA" w:rsidP="00EC63C1">
      <w:pPr>
        <w:pStyle w:val="Text1"/>
        <w:numPr>
          <w:ilvl w:val="0"/>
          <w:numId w:val="3"/>
        </w:numPr>
        <w:spacing w:after="0"/>
        <w:ind w:hanging="436"/>
        <w:rPr>
          <w:sz w:val="22"/>
          <w:szCs w:val="22"/>
        </w:rPr>
      </w:pPr>
      <w:r>
        <w:rPr>
          <w:sz w:val="22"/>
        </w:rPr>
        <w:t>ułatwianie nabywania i poprawy umiejętności i kompetencji osób zawodowo związanych z sektorem audiowizualnym oraz rozwoju sieci, w tym korzystania z technologii cyfrowych w celu dostosowywania się do rozwoju rynku, testowanie nowych podejść do rozwoju publiczności i testowanie nowych modeli biznesowych.</w:t>
      </w:r>
    </w:p>
    <w:p w:rsidR="00E1253A" w:rsidRDefault="00E1253A" w:rsidP="00E1253A">
      <w:pPr>
        <w:pStyle w:val="Text1"/>
        <w:spacing w:after="0"/>
        <w:ind w:left="0"/>
        <w:rPr>
          <w:sz w:val="22"/>
          <w:szCs w:val="22"/>
        </w:rPr>
      </w:pPr>
    </w:p>
    <w:p w:rsidR="009D68D3" w:rsidRDefault="009D68D3" w:rsidP="009D68D3">
      <w:pPr>
        <w:pStyle w:val="Text1"/>
        <w:spacing w:after="0"/>
        <w:ind w:left="0"/>
        <w:rPr>
          <w:sz w:val="22"/>
        </w:rPr>
      </w:pPr>
      <w:r w:rsidRPr="00271336">
        <w:rPr>
          <w:sz w:val="22"/>
        </w:rPr>
        <w:t xml:space="preserve">W ramach podprogramu MEDIA finansuje się: </w:t>
      </w:r>
    </w:p>
    <w:p w:rsidR="009D68D3" w:rsidRDefault="009D68D3" w:rsidP="00E1253A">
      <w:pPr>
        <w:pStyle w:val="Text1"/>
        <w:spacing w:after="0"/>
        <w:ind w:left="0"/>
        <w:rPr>
          <w:sz w:val="22"/>
          <w:szCs w:val="22"/>
        </w:rPr>
      </w:pPr>
    </w:p>
    <w:p w:rsidR="000749EA" w:rsidRPr="000749EA" w:rsidRDefault="000749EA" w:rsidP="00EC63C1">
      <w:pPr>
        <w:pStyle w:val="Text1"/>
        <w:numPr>
          <w:ilvl w:val="0"/>
          <w:numId w:val="3"/>
        </w:numPr>
        <w:spacing w:after="0"/>
        <w:ind w:hanging="436"/>
        <w:rPr>
          <w:sz w:val="22"/>
          <w:szCs w:val="22"/>
        </w:rPr>
      </w:pPr>
      <w:r>
        <w:rPr>
          <w:sz w:val="22"/>
        </w:rPr>
        <w:t>rozwój kompleksowej oferty działań szkoleniowych propagujących nabywanie i poprawę umiejętności i kompetencji przez osoby zawodowo związane z sektorem audiowizualnym, wymiana wiedzy i inicjatywy związane z tworzeniem sieci, również w zakresie wykorzystania technologii cyfrowych.</w:t>
      </w:r>
    </w:p>
    <w:p w:rsidR="00574A1D" w:rsidRDefault="00574A1D" w:rsidP="00980C1E">
      <w:pPr>
        <w:jc w:val="both"/>
        <w:rPr>
          <w:rFonts w:ascii="Times New Roman" w:hAnsi="Times New Roman"/>
        </w:rPr>
      </w:pPr>
    </w:p>
    <w:p w:rsidR="009D68D3" w:rsidRPr="00271336" w:rsidRDefault="009D68D3" w:rsidP="009D68D3">
      <w:pPr>
        <w:jc w:val="both"/>
        <w:rPr>
          <w:rFonts w:ascii="Times New Roman" w:hAnsi="Times New Roman"/>
          <w:smallCaps/>
          <w:sz w:val="24"/>
          <w:szCs w:val="24"/>
        </w:rPr>
      </w:pPr>
      <w:r w:rsidRPr="00271336">
        <w:rPr>
          <w:rFonts w:ascii="Times New Roman" w:hAnsi="Times New Roman"/>
          <w:b/>
          <w:sz w:val="24"/>
        </w:rPr>
        <w:t>2.</w:t>
      </w:r>
      <w:r w:rsidRPr="00271336">
        <w:tab/>
      </w:r>
      <w:r w:rsidRPr="00271336">
        <w:rPr>
          <w:rFonts w:ascii="Times New Roman" w:hAnsi="Times New Roman"/>
          <w:b/>
          <w:smallCaps/>
          <w:sz w:val="24"/>
        </w:rPr>
        <w:t>Kwalifikujący się wnioskodawcy</w:t>
      </w:r>
    </w:p>
    <w:p w:rsidR="009D68D3" w:rsidRPr="00271336" w:rsidRDefault="009D68D3" w:rsidP="009D68D3">
      <w:pPr>
        <w:jc w:val="both"/>
        <w:rPr>
          <w:rFonts w:ascii="Times New Roman" w:hAnsi="Times New Roman"/>
        </w:rPr>
      </w:pPr>
      <w:r w:rsidRPr="00271336">
        <w:tab/>
      </w:r>
    </w:p>
    <w:p w:rsidR="009D68D3" w:rsidRPr="00271336" w:rsidRDefault="009D68D3" w:rsidP="009D68D3">
      <w:pPr>
        <w:jc w:val="both"/>
        <w:rPr>
          <w:rFonts w:ascii="Times New Roman" w:eastAsia="Arial Unicode MS" w:hAnsi="Times New Roman"/>
        </w:rPr>
      </w:pPr>
      <w:r w:rsidRPr="00271336">
        <w:rPr>
          <w:rFonts w:ascii="Times New Roman" w:hAnsi="Times New Roman"/>
        </w:rPr>
        <w:t xml:space="preserve">Wnioskodawcą może być wyłącznie podmiot europejski (prywatne przedsiębiorstwo, organizacja nienastawiona na zysk, stowarzyszenie, organizacja dobroczynna, fundacja, organ samorządu </w:t>
      </w:r>
      <w:r w:rsidRPr="00271336">
        <w:rPr>
          <w:rFonts w:ascii="Times New Roman" w:hAnsi="Times New Roman"/>
        </w:rPr>
        <w:lastRenderedPageBreak/>
        <w:t xml:space="preserve">lokalnego, rada miejska itp.) mający siedzibę w państwie uczestniczącym w podprogramie MEDIA i należący bezpośrednio lub przez udział większościowy do obywateli tego państwa. </w:t>
      </w:r>
    </w:p>
    <w:p w:rsidR="009D68D3" w:rsidRPr="00271336" w:rsidRDefault="009D68D3" w:rsidP="009D68D3">
      <w:pPr>
        <w:spacing w:line="276" w:lineRule="auto"/>
        <w:jc w:val="both"/>
        <w:rPr>
          <w:rFonts w:ascii="Times New Roman" w:eastAsia="Calibri" w:hAnsi="Times New Roman"/>
        </w:rPr>
      </w:pPr>
    </w:p>
    <w:p w:rsidR="009D68D3" w:rsidRPr="00271336" w:rsidRDefault="009D68D3" w:rsidP="009D68D3">
      <w:pPr>
        <w:spacing w:line="276" w:lineRule="auto"/>
        <w:jc w:val="both"/>
        <w:rPr>
          <w:rFonts w:ascii="Times New Roman" w:eastAsia="Calibri" w:hAnsi="Times New Roman"/>
        </w:rPr>
      </w:pPr>
      <w:r w:rsidRPr="00271336">
        <w:rPr>
          <w:rFonts w:ascii="Times New Roman" w:hAnsi="Times New Roman"/>
        </w:rPr>
        <w:t xml:space="preserve">Wnioski składane przez podmioty prawne ustanowione w niżej wymienionych państwach są kwalifikowalne, jeśli spełnione są warunki, o których mowa w art. 8 rozporządzenia ustanawiającego program „Kreatywna Europa”, a Komisja rozpoczęła z danym państwem negocjacje: </w:t>
      </w:r>
    </w:p>
    <w:p w:rsidR="009D68D3" w:rsidRPr="00271336" w:rsidRDefault="009D68D3" w:rsidP="009D68D3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271336">
        <w:rPr>
          <w:rFonts w:ascii="Times New Roman" w:hAnsi="Times New Roman"/>
        </w:rPr>
        <w:t>państwa członkowskie UE;</w:t>
      </w:r>
    </w:p>
    <w:p w:rsidR="009D68D3" w:rsidRPr="00271336" w:rsidRDefault="009D68D3" w:rsidP="009D68D3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271336">
        <w:rPr>
          <w:rFonts w:ascii="Times New Roman" w:hAnsi="Times New Roman"/>
        </w:rPr>
        <w:t>państwa przystępujące i kandydujące do Unii oraz potencjalne państwa kandydujące korzystające ze strategii przedakcesyjnej, zgodnie z ogólnymi zasadami i warunkami ich uczestnictwa w programach unijnych ustanowionymi odpowiednimi umowami ramowymi, decyzjami rady stowarzyszenia lub podobnymi umowami;</w:t>
      </w:r>
    </w:p>
    <w:p w:rsidR="009D68D3" w:rsidRPr="00271336" w:rsidRDefault="009D68D3" w:rsidP="009D68D3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271336">
        <w:rPr>
          <w:rFonts w:ascii="Times New Roman" w:hAnsi="Times New Roman"/>
        </w:rPr>
        <w:t>państwa EFTA będące członkami EOG, zgodnie z postanowieniami Porozumienia EOG;</w:t>
      </w:r>
    </w:p>
    <w:p w:rsidR="009D68D3" w:rsidRPr="00271336" w:rsidRDefault="009D68D3" w:rsidP="009D68D3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271336">
        <w:rPr>
          <w:rFonts w:ascii="Times New Roman" w:hAnsi="Times New Roman"/>
        </w:rPr>
        <w:t>Konfederacja Szwajcarska, na podstawie umowy dwustronnej, która zostanie zawarta z tym państwem;</w:t>
      </w:r>
    </w:p>
    <w:p w:rsidR="009D68D3" w:rsidRPr="005B452C" w:rsidRDefault="009D68D3" w:rsidP="009D68D3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271336">
        <w:rPr>
          <w:rFonts w:ascii="Times New Roman" w:hAnsi="Times New Roman"/>
        </w:rPr>
        <w:t>państwa z obszaru objętego europejską polityką sąsiedztwa, zgodnie z procedurami określanymi wspólnie z tymi państwami na podstawie umów ramowych dotyczących ich uczestnictwa</w:t>
      </w:r>
      <w:r>
        <w:rPr>
          <w:rFonts w:ascii="Times New Roman" w:hAnsi="Times New Roman"/>
        </w:rPr>
        <w:t xml:space="preserve"> w programach Unii Europejskiej;</w:t>
      </w:r>
    </w:p>
    <w:p w:rsidR="009D68D3" w:rsidRPr="00271336" w:rsidRDefault="009D68D3" w:rsidP="009D68D3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5B452C">
        <w:rPr>
          <w:rFonts w:ascii="Times New Roman" w:eastAsia="Calibri" w:hAnsi="Times New Roman"/>
        </w:rPr>
        <w:t>Program jest także otwarty dla dwustronnych lub wielostronnych działań w ramach współpracy, ukierunkowanych na wybrane państwa lub regiony w oparciu o dodatkowe środki wpłacone przez te państwa lub regiony oraz uregulowania szczególne, które mają być ustalone z tymi państwami lub regionami.</w:t>
      </w:r>
    </w:p>
    <w:p w:rsidR="009D68D3" w:rsidRDefault="009D68D3" w:rsidP="009D68D3">
      <w:pPr>
        <w:spacing w:line="276" w:lineRule="auto"/>
        <w:jc w:val="both"/>
        <w:rPr>
          <w:rFonts w:ascii="Times New Roman" w:eastAsia="Calibri" w:hAnsi="Times New Roman"/>
        </w:rPr>
      </w:pPr>
    </w:p>
    <w:p w:rsidR="009D68D3" w:rsidRPr="005B452C" w:rsidRDefault="009D68D3" w:rsidP="009D68D3">
      <w:pPr>
        <w:spacing w:before="100" w:beforeAutospacing="1" w:after="180" w:line="278" w:lineRule="auto"/>
        <w:ind w:right="20"/>
        <w:jc w:val="both"/>
        <w:rPr>
          <w:rFonts w:ascii="Times New Roman" w:hAnsi="Times New Roman"/>
          <w:color w:val="000000"/>
          <w:szCs w:val="24"/>
        </w:rPr>
      </w:pPr>
      <w:r w:rsidRPr="005B452C">
        <w:rPr>
          <w:rFonts w:ascii="Times New Roman" w:hAnsi="Times New Roman"/>
          <w:color w:val="000000"/>
          <w:szCs w:val="24"/>
        </w:rPr>
        <w:t>Program umożliwia współpracę i wspólne działania z państwami, które nie biorą w nim udziału, oraz z organizacjami międzynarodowymi działającymi w sektorze kultury i sektorze kreatywnym, takimi jak UNESCO, Rada Europy, Organizacja Współpracy Gospodarczej i Rozwoju lub Światowa Organizacja Własności Intelektualnej w oparciu o wspólnie wniesiony wkład na realizację celów programu.</w:t>
      </w:r>
    </w:p>
    <w:p w:rsidR="009D68D3" w:rsidRDefault="009D68D3" w:rsidP="009D68D3">
      <w:pPr>
        <w:spacing w:line="276" w:lineRule="auto"/>
        <w:jc w:val="both"/>
        <w:rPr>
          <w:rFonts w:ascii="Times New Roman" w:hAnsi="Times New Roman"/>
        </w:rPr>
      </w:pPr>
      <w:r w:rsidRPr="00271336">
        <w:rPr>
          <w:rFonts w:ascii="Times New Roman" w:hAnsi="Times New Roman"/>
        </w:rPr>
        <w:t>Wnioski pochodzące z państw nienależących do UE mogą zostać wybrane, pod warunkiem, że w dniu przyjęcia decyzji o przyznaniu finansowania podpisane już będą umowy określające warunki udziału tych państw w programie ustanowionym wyżej przywołanym rozporządzeniem.</w:t>
      </w:r>
    </w:p>
    <w:p w:rsidR="009D68D3" w:rsidRDefault="009D68D3" w:rsidP="009D68D3">
      <w:pPr>
        <w:spacing w:line="276" w:lineRule="auto"/>
        <w:jc w:val="both"/>
        <w:rPr>
          <w:rFonts w:ascii="Times New Roman" w:hAnsi="Times New Roman"/>
        </w:rPr>
      </w:pPr>
    </w:p>
    <w:p w:rsidR="009D68D3" w:rsidRPr="008A691E" w:rsidRDefault="009D68D3" w:rsidP="009D68D3">
      <w:pPr>
        <w:spacing w:after="20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Agencja może wybrać wnioski złożone przez wnioskodawców z państw trzecich, pod warunkiem, że w dniu podjęcia decyzji o przyznaniu dotacji będą istniały podpisane umowy określające warunki udziału tych państw w programie zgodnie z rozporządzeniem, o którym mowa powyżej.</w:t>
      </w:r>
    </w:p>
    <w:p w:rsidR="009D68D3" w:rsidRPr="008A691E" w:rsidRDefault="009D68D3" w:rsidP="009D68D3">
      <w:pPr>
        <w:spacing w:after="200" w:line="276" w:lineRule="auto"/>
        <w:jc w:val="both"/>
        <w:rPr>
          <w:rFonts w:ascii="Times New Roman" w:eastAsia="Calibri" w:hAnsi="Times New Roman"/>
          <w:u w:val="single"/>
        </w:rPr>
      </w:pPr>
      <w:r>
        <w:rPr>
          <w:rFonts w:ascii="Times New Roman" w:hAnsi="Times New Roman"/>
        </w:rPr>
        <w:t>(Zaktualizowany wykaz państw, które spełniają wymagania przedstawione w art. 8 rozporządzenia i z którymi Komisja rozpoczęła już negocjacje, można znaleźć pod następującym adresem:</w:t>
      </w:r>
    </w:p>
    <w:p w:rsidR="009D68D3" w:rsidRPr="008A691E" w:rsidRDefault="009B43EC" w:rsidP="009D68D3">
      <w:pPr>
        <w:rPr>
          <w:rFonts w:ascii="Times New Roman" w:hAnsi="Times New Roman"/>
          <w:u w:val="single"/>
        </w:rPr>
      </w:pPr>
      <w:hyperlink r:id="rId10">
        <w:r w:rsidR="009D68D3">
          <w:rPr>
            <w:rStyle w:val="Hipercze"/>
            <w:rFonts w:ascii="Times New Roman" w:hAnsi="Times New Roman"/>
            <w:color w:val="auto"/>
          </w:rPr>
          <w:t>http://eacea.ec.europa.eu/creative-europe/library/eligibility-organisations-non-eu-countries_en</w:t>
        </w:r>
      </w:hyperlink>
      <w:r w:rsidR="009D68D3">
        <w:rPr>
          <w:rFonts w:ascii="Times New Roman" w:hAnsi="Times New Roman"/>
        </w:rPr>
        <w:t>).</w:t>
      </w:r>
    </w:p>
    <w:p w:rsidR="009D68D3" w:rsidRPr="008A691E" w:rsidRDefault="009D68D3" w:rsidP="009D68D3">
      <w:pPr>
        <w:rPr>
          <w:rFonts w:ascii="Times New Roman" w:hAnsi="Times New Roman"/>
        </w:rPr>
      </w:pPr>
    </w:p>
    <w:p w:rsidR="009D68D3" w:rsidRPr="003B025B" w:rsidRDefault="009D68D3" w:rsidP="009D68D3">
      <w:pPr>
        <w:spacing w:after="120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Osoby fizyczne </w:t>
      </w:r>
      <w:r>
        <w:rPr>
          <w:rFonts w:ascii="Times New Roman" w:hAnsi="Times New Roman"/>
          <w:b/>
        </w:rPr>
        <w:t>nie</w:t>
      </w:r>
      <w:r>
        <w:rPr>
          <w:rFonts w:ascii="Times New Roman" w:hAnsi="Times New Roman"/>
        </w:rPr>
        <w:t xml:space="preserve"> mogą ubiegać się o przyznanie dotacji.</w:t>
      </w:r>
    </w:p>
    <w:p w:rsidR="009D68D3" w:rsidRDefault="009D68D3" w:rsidP="00980C1E">
      <w:pPr>
        <w:jc w:val="both"/>
        <w:rPr>
          <w:rFonts w:ascii="Times New Roman" w:hAnsi="Times New Roman"/>
        </w:rPr>
      </w:pPr>
    </w:p>
    <w:p w:rsidR="009D68D3" w:rsidRDefault="009D68D3" w:rsidP="00980C1E">
      <w:pPr>
        <w:jc w:val="both"/>
        <w:rPr>
          <w:rFonts w:ascii="Times New Roman" w:hAnsi="Times New Roman"/>
        </w:rPr>
      </w:pPr>
    </w:p>
    <w:p w:rsidR="0077737A" w:rsidRPr="00EC63C1" w:rsidRDefault="00C230F3" w:rsidP="00EC63C1">
      <w:pPr>
        <w:pStyle w:val="Akapitzlist"/>
        <w:numPr>
          <w:ilvl w:val="0"/>
          <w:numId w:val="10"/>
        </w:numPr>
        <w:ind w:hanging="720"/>
        <w:jc w:val="both"/>
        <w:rPr>
          <w:b/>
          <w:smallCaps/>
        </w:rPr>
      </w:pPr>
      <w:r>
        <w:rPr>
          <w:b/>
          <w:smallCaps/>
        </w:rPr>
        <w:lastRenderedPageBreak/>
        <w:t>Kwalifikujące się działania</w:t>
      </w:r>
    </w:p>
    <w:p w:rsidR="0077737A" w:rsidRPr="00980C1E" w:rsidRDefault="0077737A" w:rsidP="00980C1E">
      <w:pPr>
        <w:jc w:val="both"/>
        <w:rPr>
          <w:rFonts w:ascii="Times New Roman" w:hAnsi="Times New Roman"/>
        </w:rPr>
      </w:pPr>
    </w:p>
    <w:p w:rsidR="006771AA" w:rsidRPr="006771AA" w:rsidRDefault="006771AA" w:rsidP="00EC63C1">
      <w:pPr>
        <w:spacing w:after="1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Wnioski muszą obejmować działania zmierzające do poprawy zdolności osób zawodowo związanych z branżą audiowizualną w zakresie rozumienia i uwzględnienia w pracy wymiaru europejskiego i międzynarodowego poprzez poprawę ich stanu wiedzy w następujących dziedzinach:</w:t>
      </w:r>
    </w:p>
    <w:p w:rsidR="006771AA" w:rsidRPr="006771AA" w:rsidRDefault="006771AA" w:rsidP="00EC63C1">
      <w:pPr>
        <w:pStyle w:val="Tiretcourt"/>
        <w:numPr>
          <w:ilvl w:val="1"/>
          <w:numId w:val="12"/>
        </w:numPr>
        <w:tabs>
          <w:tab w:val="left" w:pos="284"/>
        </w:tabs>
        <w:ind w:left="0" w:firstLine="0"/>
      </w:pPr>
      <w:r>
        <w:t>Szkolenia w zakresie poszerzania grona odbiorców, marketingu, nowych sposobów upowszechniania i eksploatacji, w tym przy użyciu najnowszych technologii cyfrowych;</w:t>
      </w:r>
    </w:p>
    <w:p w:rsidR="006771AA" w:rsidRPr="006771AA" w:rsidRDefault="006771AA" w:rsidP="00EC63C1">
      <w:pPr>
        <w:pStyle w:val="Tiretcourt"/>
        <w:numPr>
          <w:ilvl w:val="1"/>
          <w:numId w:val="12"/>
        </w:numPr>
        <w:tabs>
          <w:tab w:val="left" w:pos="284"/>
        </w:tabs>
        <w:ind w:left="0" w:firstLine="0"/>
      </w:pPr>
      <w:r>
        <w:t xml:space="preserve">Szkolenia z zakresu zarządzania finansowego i handlowego w celu zapewnienia lepszego dostępu do finansowania i nowych modeli biznesowych; </w:t>
      </w:r>
    </w:p>
    <w:p w:rsidR="006771AA" w:rsidRPr="006771AA" w:rsidRDefault="006771AA" w:rsidP="00EC63C1">
      <w:pPr>
        <w:pStyle w:val="Tiretcourt"/>
        <w:numPr>
          <w:ilvl w:val="1"/>
          <w:numId w:val="12"/>
        </w:numPr>
        <w:tabs>
          <w:tab w:val="left" w:pos="284"/>
        </w:tabs>
        <w:ind w:left="0" w:firstLine="0"/>
      </w:pPr>
      <w:r>
        <w:t>Szkolenia dotyczące opracowywania i produkcji utworów audiowizualnych z uwzględnieniem wymiany wiedzy i umiejętności budowania sieci kontaktów;</w:t>
      </w:r>
    </w:p>
    <w:p w:rsidR="00EA2169" w:rsidRDefault="006771AA" w:rsidP="00EC63C1">
      <w:pPr>
        <w:pStyle w:val="Tiretcourt"/>
        <w:numPr>
          <w:ilvl w:val="1"/>
          <w:numId w:val="12"/>
        </w:numPr>
        <w:tabs>
          <w:tab w:val="left" w:pos="284"/>
        </w:tabs>
        <w:ind w:left="0" w:firstLine="0"/>
      </w:pPr>
      <w:r>
        <w:t>Szkolenia w zakresie pokonywania wyzwań związanych z digitalizacją w celu zapewnienia możliwości przystosowania się do zmian na rynku.</w:t>
      </w:r>
    </w:p>
    <w:p w:rsidR="006771AA" w:rsidRPr="006771AA" w:rsidRDefault="006771AA" w:rsidP="00EC63C1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Wnioskodawcy składają wnioski w ramach jednej z dwóch następujących kategorii wspieranych działań w zależności od skali, potrzeb, celów i wymiaru międzynarodowego/ europejskiego:</w:t>
      </w:r>
    </w:p>
    <w:p w:rsidR="006771AA" w:rsidRPr="006771AA" w:rsidRDefault="006771AA" w:rsidP="00EC63C1">
      <w:pPr>
        <w:jc w:val="both"/>
        <w:rPr>
          <w:rFonts w:ascii="Times New Roman" w:eastAsia="Calibri" w:hAnsi="Times New Roman"/>
        </w:rPr>
      </w:pPr>
    </w:p>
    <w:p w:rsidR="006771AA" w:rsidRPr="006771AA" w:rsidRDefault="006771AA" w:rsidP="00EC63C1">
      <w:pPr>
        <w:pStyle w:val="ListNumber1"/>
        <w:numPr>
          <w:ilvl w:val="0"/>
          <w:numId w:val="13"/>
        </w:numPr>
        <w:ind w:hanging="720"/>
      </w:pPr>
      <w:r>
        <w:t>Działania europejskie: działania wspierające nabywanie i poprawę umiejętności i kompetencji osób zawodowo związanych z sektorem audiowizualnym działających głównie w Europie</w:t>
      </w:r>
    </w:p>
    <w:p w:rsidR="006771AA" w:rsidRPr="006771AA" w:rsidRDefault="006771AA" w:rsidP="00EC63C1">
      <w:pPr>
        <w:pStyle w:val="ListNumber1"/>
      </w:pPr>
    </w:p>
    <w:p w:rsidR="006771AA" w:rsidRDefault="006771AA" w:rsidP="00EC63C1">
      <w:pPr>
        <w:pStyle w:val="ListNumber1"/>
        <w:numPr>
          <w:ilvl w:val="0"/>
          <w:numId w:val="13"/>
        </w:numPr>
        <w:ind w:hanging="720"/>
      </w:pPr>
      <w:r>
        <w:t>Działania międzynarodowe: działania mające na celu budowanie profesjonalizmu, wiedzy i zdolności umożliwiających europejskim pracownikom sektora audiowizualnego działanie poza Europą poprzez tworzenie sieci kontaktów i współpracę z przedstawicielami branży spoza Europy.</w:t>
      </w:r>
    </w:p>
    <w:p w:rsidR="006771AA" w:rsidRPr="006771AA" w:rsidRDefault="006771AA" w:rsidP="00EC63C1">
      <w:pPr>
        <w:jc w:val="both"/>
        <w:rPr>
          <w:rFonts w:ascii="Times New Roman" w:hAnsi="Times New Roman"/>
          <w:bCs/>
        </w:rPr>
      </w:pPr>
    </w:p>
    <w:p w:rsidR="006771AA" w:rsidRDefault="006771AA" w:rsidP="00063F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składany w ramach niniejszego zaproszenia do składania wniosków ma na celu nawiązanie dwuletniego partnerstwa w ramach podprogramu MEDIA poprzez podpisanie ramowej umowy o partnerstwie.</w:t>
      </w:r>
    </w:p>
    <w:p w:rsidR="00063F0C" w:rsidRPr="006771AA" w:rsidRDefault="00063F0C" w:rsidP="00063F0C">
      <w:pPr>
        <w:jc w:val="both"/>
        <w:rPr>
          <w:rFonts w:ascii="Times New Roman" w:hAnsi="Times New Roman"/>
          <w:bCs/>
        </w:rPr>
      </w:pPr>
    </w:p>
    <w:p w:rsidR="0062603B" w:rsidRDefault="00443E8A" w:rsidP="00CC7A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pierwszym roku obowiązywania dwuletniej ramowej umowy o partnerstwie działanie musi rozpocząć się między 01.09.2016 r. a 31.08.2017 r.</w:t>
      </w:r>
    </w:p>
    <w:p w:rsidR="0062603B" w:rsidRPr="00980C1E" w:rsidRDefault="0062603B" w:rsidP="00CC7A53">
      <w:pPr>
        <w:jc w:val="both"/>
        <w:rPr>
          <w:rFonts w:ascii="Times New Roman" w:hAnsi="Times New Roman"/>
        </w:rPr>
      </w:pPr>
    </w:p>
    <w:p w:rsidR="00F3710E" w:rsidRPr="00F3710E" w:rsidRDefault="00CC7A53" w:rsidP="00EC63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czas trwania działania wynosi 12 miesięcy. Okres kwalifikowalności może zostać przedłużony maksymalnie o 6 dodatkowych miesięcy pod warunkiem złożenia stosownego wniosku przed upływem terminu określonego w umowie. W żadnym razie maksymalny okres nie może przekroczyć 18 miesięcy. </w:t>
      </w:r>
    </w:p>
    <w:p w:rsidR="00354184" w:rsidRPr="00980C1E" w:rsidRDefault="00354184" w:rsidP="00EC63C1">
      <w:pPr>
        <w:jc w:val="both"/>
        <w:rPr>
          <w:rFonts w:ascii="Times New Roman" w:hAnsi="Times New Roman"/>
        </w:rPr>
      </w:pPr>
    </w:p>
    <w:p w:rsidR="00EA2169" w:rsidRPr="00980C1E" w:rsidRDefault="00C230F3" w:rsidP="00EC63C1">
      <w:pPr>
        <w:pStyle w:val="Akapitzlist"/>
        <w:numPr>
          <w:ilvl w:val="0"/>
          <w:numId w:val="10"/>
        </w:numPr>
        <w:ind w:hanging="720"/>
        <w:jc w:val="both"/>
        <w:rPr>
          <w:b/>
          <w:smallCaps/>
        </w:rPr>
      </w:pPr>
      <w:r>
        <w:rPr>
          <w:b/>
          <w:smallCaps/>
        </w:rPr>
        <w:t>Kryteria udzielenia wsparcia</w:t>
      </w:r>
    </w:p>
    <w:p w:rsidR="00EA2169" w:rsidRPr="00980C1E" w:rsidRDefault="00EA2169" w:rsidP="00EC63C1">
      <w:pPr>
        <w:jc w:val="both"/>
        <w:rPr>
          <w:rFonts w:ascii="Times New Roman" w:hAnsi="Times New Roman"/>
        </w:rPr>
      </w:pPr>
    </w:p>
    <w:p w:rsidR="002707DD" w:rsidRDefault="00980F61" w:rsidP="00EC63C1">
      <w:pPr>
        <w:pStyle w:val="Text1"/>
        <w:spacing w:after="0"/>
        <w:ind w:left="0"/>
        <w:rPr>
          <w:sz w:val="22"/>
          <w:szCs w:val="22"/>
        </w:rPr>
      </w:pPr>
      <w:r>
        <w:rPr>
          <w:sz w:val="22"/>
        </w:rPr>
        <w:t>Kwalifikujące się wnioski zostaną ocenione w 100-punktowej skali według następujących kryteriów i wag:</w:t>
      </w:r>
    </w:p>
    <w:p w:rsidR="00E978E9" w:rsidRPr="00980C1E" w:rsidRDefault="00E978E9" w:rsidP="00EC63C1">
      <w:pPr>
        <w:pStyle w:val="Text1"/>
        <w:spacing w:after="0"/>
        <w:ind w:left="0"/>
        <w:jc w:val="left"/>
        <w:rPr>
          <w:sz w:val="22"/>
          <w:szCs w:val="22"/>
        </w:rPr>
      </w:pPr>
    </w:p>
    <w:p w:rsidR="0098410E" w:rsidRPr="00980C1E" w:rsidRDefault="0098410E" w:rsidP="00EC63C1">
      <w:pPr>
        <w:pStyle w:val="Text1"/>
        <w:spacing w:after="120"/>
        <w:ind w:left="0"/>
        <w:rPr>
          <w:spacing w:val="-3"/>
          <w:sz w:val="22"/>
          <w:szCs w:val="22"/>
        </w:rPr>
      </w:pPr>
      <w:r>
        <w:rPr>
          <w:spacing w:val="-3"/>
          <w:sz w:val="22"/>
        </w:rPr>
        <w:t>Odpowiedniość i europejska wartość dodana (30 punktów)</w:t>
      </w:r>
    </w:p>
    <w:p w:rsidR="00443E8A" w:rsidRPr="00EC63C1" w:rsidRDefault="00443E8A" w:rsidP="00EC63C1">
      <w:pPr>
        <w:pStyle w:val="Text1"/>
        <w:numPr>
          <w:ilvl w:val="0"/>
          <w:numId w:val="3"/>
        </w:numPr>
        <w:spacing w:after="0"/>
        <w:ind w:hanging="436"/>
        <w:rPr>
          <w:spacing w:val="-5"/>
          <w:sz w:val="22"/>
          <w:szCs w:val="22"/>
        </w:rPr>
      </w:pPr>
      <w:r>
        <w:rPr>
          <w:sz w:val="22"/>
        </w:rPr>
        <w:t>Odpowiedniość treści działania, w tym jego międzynarodowy/europejski wymiar w kontekście celów zaproszenia do składania wniosków, potrzeb i tendencji w branży, poziom innowacyjności projektu w stosunku do istniejącej europejskiej oferty szkoleniowej i współpracy z branżą audiowizualną.</w:t>
      </w:r>
    </w:p>
    <w:p w:rsidR="0098410E" w:rsidRPr="00EC63C1" w:rsidRDefault="0098410E" w:rsidP="00EC63C1">
      <w:pPr>
        <w:pStyle w:val="Text1"/>
        <w:spacing w:after="0"/>
        <w:ind w:left="0"/>
        <w:rPr>
          <w:spacing w:val="-3"/>
          <w:sz w:val="22"/>
          <w:szCs w:val="22"/>
        </w:rPr>
      </w:pPr>
    </w:p>
    <w:p w:rsidR="0098410E" w:rsidRPr="00980C1E" w:rsidRDefault="0098410E" w:rsidP="00EC63C1">
      <w:pPr>
        <w:pStyle w:val="Text1"/>
        <w:spacing w:after="120"/>
        <w:ind w:left="0"/>
        <w:rPr>
          <w:spacing w:val="-3"/>
          <w:sz w:val="22"/>
          <w:szCs w:val="22"/>
        </w:rPr>
      </w:pPr>
      <w:r>
        <w:rPr>
          <w:spacing w:val="-3"/>
          <w:sz w:val="22"/>
        </w:rPr>
        <w:t>Jakość treści i działań (40 pkt)</w:t>
      </w:r>
    </w:p>
    <w:p w:rsidR="00443E8A" w:rsidRPr="00EC63C1" w:rsidRDefault="00443E8A" w:rsidP="00EC63C1">
      <w:pPr>
        <w:pStyle w:val="Text1"/>
        <w:numPr>
          <w:ilvl w:val="0"/>
          <w:numId w:val="3"/>
        </w:numPr>
        <w:spacing w:after="0"/>
        <w:ind w:hanging="436"/>
        <w:rPr>
          <w:spacing w:val="-5"/>
          <w:sz w:val="22"/>
          <w:szCs w:val="22"/>
        </w:rPr>
      </w:pPr>
      <w:r>
        <w:rPr>
          <w:sz w:val="22"/>
        </w:rPr>
        <w:t>Odpowiedniość metodyki w stosunku do celów (formuła obejmująca innowacyjne aspekty pod względem wykorzystania najnowszych technologii cyfrowych, grupy docelowej, użycia specjalistycznej wiedzy, ekonomiczności działania).</w:t>
      </w:r>
    </w:p>
    <w:p w:rsidR="0098410E" w:rsidRPr="00980C1E" w:rsidRDefault="0098410E" w:rsidP="00EC63C1">
      <w:pPr>
        <w:pStyle w:val="Text1"/>
        <w:spacing w:after="0"/>
        <w:ind w:left="0"/>
        <w:rPr>
          <w:sz w:val="22"/>
          <w:szCs w:val="22"/>
        </w:rPr>
      </w:pPr>
    </w:p>
    <w:p w:rsidR="0098410E" w:rsidRPr="00980C1E" w:rsidRDefault="0098410E" w:rsidP="00EC63C1">
      <w:pPr>
        <w:pStyle w:val="Text1"/>
        <w:spacing w:after="120"/>
        <w:ind w:left="0"/>
        <w:rPr>
          <w:spacing w:val="-3"/>
          <w:sz w:val="22"/>
          <w:szCs w:val="22"/>
        </w:rPr>
      </w:pPr>
      <w:r>
        <w:rPr>
          <w:sz w:val="22"/>
        </w:rPr>
        <w:lastRenderedPageBreak/>
        <w:t>Rozpowszechnianie rezultatów projektu, jego wpływ i trwałość (20 pkt)</w:t>
      </w:r>
    </w:p>
    <w:p w:rsidR="00443E8A" w:rsidRPr="00EC63C1" w:rsidRDefault="00443E8A" w:rsidP="00EC63C1">
      <w:pPr>
        <w:pStyle w:val="Text1"/>
        <w:numPr>
          <w:ilvl w:val="0"/>
          <w:numId w:val="3"/>
        </w:numPr>
        <w:spacing w:after="0"/>
        <w:ind w:hanging="436"/>
        <w:rPr>
          <w:spacing w:val="-5"/>
          <w:sz w:val="22"/>
          <w:szCs w:val="22"/>
        </w:rPr>
      </w:pPr>
      <w:r>
        <w:rPr>
          <w:spacing w:val="-5"/>
          <w:sz w:val="22"/>
        </w:rPr>
        <w:t>Mechanizmy upowszechniania dobrej praktyki i rezultatów poza grupą uczestników, wpływ na uczestniczących przedstawicieli branży, pojedyncze przedsiębiorstwa i sektor audiowizualny, a także przyczynienie się do poprawy dostępu osób i przedsiębiorstw do międzynarodowych sieci kontaktów i rynków.</w:t>
      </w:r>
    </w:p>
    <w:p w:rsidR="0098410E" w:rsidRPr="00980C1E" w:rsidRDefault="0098410E" w:rsidP="00EC63C1">
      <w:pPr>
        <w:pStyle w:val="Text1"/>
        <w:spacing w:after="0"/>
        <w:ind w:left="0"/>
        <w:rPr>
          <w:sz w:val="22"/>
          <w:szCs w:val="22"/>
        </w:rPr>
      </w:pPr>
    </w:p>
    <w:p w:rsidR="0098410E" w:rsidRPr="00980C1E" w:rsidRDefault="00347BE9" w:rsidP="00EC63C1">
      <w:pPr>
        <w:pStyle w:val="Text1"/>
        <w:spacing w:after="120"/>
        <w:ind w:left="0"/>
        <w:rPr>
          <w:sz w:val="22"/>
          <w:szCs w:val="22"/>
        </w:rPr>
      </w:pPr>
      <w:r>
        <w:rPr>
          <w:sz w:val="22"/>
        </w:rPr>
        <w:t>Organizacja zespołu projektowego (10 pkt)</w:t>
      </w:r>
    </w:p>
    <w:p w:rsidR="00DF63A5" w:rsidRPr="009D68D3" w:rsidRDefault="00443E8A" w:rsidP="00EC63C1">
      <w:pPr>
        <w:pStyle w:val="Text1"/>
        <w:numPr>
          <w:ilvl w:val="0"/>
          <w:numId w:val="3"/>
        </w:numPr>
        <w:spacing w:after="0"/>
        <w:ind w:hanging="436"/>
        <w:rPr>
          <w:sz w:val="22"/>
          <w:szCs w:val="22"/>
        </w:rPr>
      </w:pPr>
      <w:r>
        <w:rPr>
          <w:spacing w:val="-5"/>
          <w:sz w:val="22"/>
        </w:rPr>
        <w:t>Podział ról i obowiązków w zespole oraz jakość przygotowania pedagogicznego osób prowadzących zajęcia, ekspertów i doradców w świetle celów działań szkoleniowych.</w:t>
      </w:r>
    </w:p>
    <w:p w:rsidR="009D68D3" w:rsidRDefault="009D68D3" w:rsidP="009D68D3">
      <w:pPr>
        <w:pStyle w:val="Text1"/>
        <w:spacing w:after="0"/>
        <w:ind w:left="0"/>
        <w:rPr>
          <w:spacing w:val="-5"/>
          <w:sz w:val="22"/>
        </w:rPr>
      </w:pPr>
    </w:p>
    <w:p w:rsidR="009D68D3" w:rsidRPr="00271336" w:rsidRDefault="009D68D3" w:rsidP="009D68D3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71336">
        <w:rPr>
          <w:rFonts w:ascii="Times New Roman" w:hAnsi="Times New Roman"/>
          <w:b/>
          <w:sz w:val="24"/>
        </w:rPr>
        <w:t>5.</w:t>
      </w:r>
      <w:r w:rsidRPr="00271336">
        <w:tab/>
      </w:r>
      <w:r w:rsidRPr="00271336">
        <w:rPr>
          <w:rFonts w:ascii="Times New Roman" w:hAnsi="Times New Roman"/>
          <w:b/>
          <w:smallCaps/>
          <w:sz w:val="24"/>
        </w:rPr>
        <w:t>Budżet:</w:t>
      </w:r>
    </w:p>
    <w:p w:rsidR="009D68D3" w:rsidRPr="00271336" w:rsidRDefault="009D68D3" w:rsidP="009D68D3">
      <w:pPr>
        <w:jc w:val="both"/>
        <w:rPr>
          <w:rFonts w:ascii="Times New Roman" w:hAnsi="Times New Roman"/>
        </w:rPr>
      </w:pPr>
    </w:p>
    <w:p w:rsidR="009D68D3" w:rsidRPr="00271336" w:rsidRDefault="009D68D3" w:rsidP="009D68D3">
      <w:pPr>
        <w:suppressAutoHyphens/>
        <w:jc w:val="both"/>
        <w:rPr>
          <w:rFonts w:ascii="Times New Roman" w:hAnsi="Times New Roman"/>
          <w:spacing w:val="-3"/>
        </w:rPr>
      </w:pPr>
      <w:r w:rsidRPr="00271336">
        <w:rPr>
          <w:rFonts w:ascii="Times New Roman" w:hAnsi="Times New Roman"/>
          <w:spacing w:val="-3"/>
        </w:rPr>
        <w:t>Dostępny budżet ogółe</w:t>
      </w:r>
      <w:r>
        <w:rPr>
          <w:rFonts w:ascii="Times New Roman" w:hAnsi="Times New Roman"/>
          <w:spacing w:val="-3"/>
        </w:rPr>
        <w:t xml:space="preserve">m szacuje się na 7.3 </w:t>
      </w:r>
      <w:r w:rsidRPr="00271336">
        <w:rPr>
          <w:rFonts w:ascii="Times New Roman" w:hAnsi="Times New Roman"/>
          <w:spacing w:val="-3"/>
        </w:rPr>
        <w:t xml:space="preserve">mln EUR. </w:t>
      </w:r>
    </w:p>
    <w:p w:rsidR="009D68D3" w:rsidRPr="00271336" w:rsidRDefault="009D68D3" w:rsidP="009D68D3">
      <w:pPr>
        <w:suppressAutoHyphens/>
        <w:jc w:val="both"/>
        <w:rPr>
          <w:rFonts w:ascii="Times New Roman" w:hAnsi="Times New Roman"/>
          <w:spacing w:val="-3"/>
        </w:rPr>
      </w:pPr>
    </w:p>
    <w:p w:rsidR="009D68D3" w:rsidRPr="00271336" w:rsidRDefault="009D68D3" w:rsidP="009D68D3">
      <w:pPr>
        <w:jc w:val="both"/>
        <w:rPr>
          <w:rFonts w:ascii="Times New Roman" w:eastAsia="Arial Unicode MS" w:hAnsi="Times New Roman"/>
        </w:rPr>
      </w:pPr>
      <w:r w:rsidRPr="00271336">
        <w:rPr>
          <w:rFonts w:ascii="Times New Roman" w:hAnsi="Times New Roman"/>
        </w:rPr>
        <w:t>Wkład finansowy Unii nie może przekroczyć:</w:t>
      </w:r>
    </w:p>
    <w:p w:rsidR="009D68D3" w:rsidRPr="00271336" w:rsidRDefault="009D68D3" w:rsidP="009D68D3">
      <w:pPr>
        <w:jc w:val="both"/>
        <w:rPr>
          <w:rFonts w:ascii="Times New Roman" w:hAnsi="Times New Roman"/>
        </w:rPr>
      </w:pPr>
    </w:p>
    <w:p w:rsidR="009D68D3" w:rsidRPr="00271336" w:rsidRDefault="009D68D3" w:rsidP="009D68D3">
      <w:pPr>
        <w:ind w:left="851"/>
        <w:jc w:val="both"/>
        <w:rPr>
          <w:rFonts w:ascii="Times New Roman" w:hAnsi="Times New Roman"/>
        </w:rPr>
      </w:pPr>
      <w:r w:rsidRPr="00271336">
        <w:rPr>
          <w:rFonts w:ascii="Times New Roman" w:hAnsi="Times New Roman"/>
        </w:rPr>
        <w:t>- 60 % całkowitych kosztów kwalifikowalnych działania w przypadku działań prowadzonych w państwach uczestniczących w podprogramie MEDIA;</w:t>
      </w:r>
    </w:p>
    <w:p w:rsidR="009D68D3" w:rsidRPr="00271336" w:rsidRDefault="009D68D3" w:rsidP="009D68D3">
      <w:pPr>
        <w:ind w:left="851"/>
        <w:jc w:val="both"/>
        <w:rPr>
          <w:rFonts w:ascii="Times New Roman" w:hAnsi="Times New Roman"/>
        </w:rPr>
      </w:pPr>
    </w:p>
    <w:p w:rsidR="009D68D3" w:rsidRPr="00271336" w:rsidRDefault="009D68D3" w:rsidP="009D68D3">
      <w:pPr>
        <w:ind w:left="851"/>
        <w:jc w:val="both"/>
        <w:rPr>
          <w:rFonts w:ascii="Times New Roman" w:hAnsi="Times New Roman"/>
        </w:rPr>
      </w:pPr>
      <w:r w:rsidRPr="00271336">
        <w:rPr>
          <w:rFonts w:ascii="Times New Roman" w:hAnsi="Times New Roman"/>
        </w:rPr>
        <w:t>- 80 % całkowitych kosztów kwalifikowalnych działania w przypadku działań prowadzonych poza państwami uczestniczącymi w podprogramie MEDIA.</w:t>
      </w:r>
    </w:p>
    <w:p w:rsidR="009D68D3" w:rsidRPr="00271336" w:rsidRDefault="009D68D3" w:rsidP="009D68D3">
      <w:pPr>
        <w:jc w:val="both"/>
        <w:rPr>
          <w:rFonts w:ascii="Times New Roman" w:hAnsi="Times New Roman"/>
        </w:rPr>
      </w:pPr>
    </w:p>
    <w:p w:rsidR="009D68D3" w:rsidRPr="00271336" w:rsidRDefault="009D68D3" w:rsidP="009D68D3">
      <w:pPr>
        <w:jc w:val="both"/>
        <w:rPr>
          <w:rFonts w:ascii="Times New Roman" w:hAnsi="Times New Roman"/>
        </w:rPr>
      </w:pPr>
      <w:r w:rsidRPr="00271336">
        <w:rPr>
          <w:rFonts w:ascii="Times New Roman" w:hAnsi="Times New Roman"/>
        </w:rPr>
        <w:t>Agencja zastrzega sobie prawo do nieprzydzielenia wszystkich dostępnych środków.</w:t>
      </w:r>
    </w:p>
    <w:p w:rsidR="009D68D3" w:rsidRPr="00271336" w:rsidRDefault="009D68D3" w:rsidP="009D68D3">
      <w:pPr>
        <w:jc w:val="both"/>
        <w:rPr>
          <w:rFonts w:ascii="Times New Roman" w:hAnsi="Times New Roman"/>
        </w:rPr>
      </w:pPr>
    </w:p>
    <w:p w:rsidR="009D68D3" w:rsidRPr="00271336" w:rsidRDefault="009D68D3" w:rsidP="009D68D3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71336">
        <w:rPr>
          <w:rFonts w:ascii="Times New Roman" w:hAnsi="Times New Roman"/>
          <w:b/>
          <w:sz w:val="24"/>
        </w:rPr>
        <w:t>6.</w:t>
      </w:r>
      <w:r w:rsidRPr="00271336">
        <w:tab/>
      </w:r>
      <w:r w:rsidRPr="00271336">
        <w:rPr>
          <w:rFonts w:ascii="Times New Roman" w:hAnsi="Times New Roman"/>
          <w:b/>
          <w:smallCaps/>
          <w:sz w:val="24"/>
        </w:rPr>
        <w:t>Termin składania wniosków</w:t>
      </w:r>
    </w:p>
    <w:p w:rsidR="009D68D3" w:rsidRPr="00271336" w:rsidRDefault="009D68D3" w:rsidP="009D68D3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9D68D3" w:rsidRPr="00271336" w:rsidRDefault="009D68D3" w:rsidP="009D68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271336">
        <w:rPr>
          <w:rFonts w:ascii="Times New Roman" w:hAnsi="Times New Roman"/>
        </w:rPr>
        <w:t xml:space="preserve">Wnioski należy składać do dnia </w:t>
      </w:r>
      <w:r>
        <w:rPr>
          <w:rFonts w:ascii="Times New Roman" w:hAnsi="Times New Roman"/>
          <w:b/>
        </w:rPr>
        <w:t>14.04</w:t>
      </w:r>
      <w:r w:rsidRPr="00271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2016 do godz. </w:t>
      </w:r>
      <w:r w:rsidRPr="00271336">
        <w:rPr>
          <w:rFonts w:ascii="Times New Roman" w:hAnsi="Times New Roman"/>
          <w:b/>
        </w:rPr>
        <w:t>12:00 w południe</w:t>
      </w:r>
      <w:r w:rsidRPr="00271336">
        <w:rPr>
          <w:rFonts w:ascii="Times New Roman" w:hAnsi="Times New Roman"/>
        </w:rPr>
        <w:t xml:space="preserve"> (czasu obowiązującego w Brukseli) za pomocą elektronicznych formularzy zgłoszeniowych (eForm). Wnioski złożone w inny sposób nie będą rozpatrywane. </w:t>
      </w:r>
    </w:p>
    <w:p w:rsidR="009D68D3" w:rsidRPr="00271336" w:rsidRDefault="009D68D3" w:rsidP="009D68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</w:p>
    <w:p w:rsidR="009D68D3" w:rsidRPr="00271336" w:rsidRDefault="009D68D3" w:rsidP="009D68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271336">
        <w:rPr>
          <w:rFonts w:ascii="Times New Roman" w:hAnsi="Times New Roman"/>
        </w:rPr>
        <w:t>Obowiązkiem wnioskodawcy jest przekazanie wszystkich wymaganych dokumentów wymienionych w formularzu elektronicznym (eForm).</w:t>
      </w:r>
    </w:p>
    <w:p w:rsidR="009D68D3" w:rsidRPr="00271336" w:rsidRDefault="009D68D3" w:rsidP="009D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D68D3" w:rsidRPr="00271336" w:rsidRDefault="009D68D3" w:rsidP="009D68D3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71336">
        <w:rPr>
          <w:rFonts w:ascii="Times New Roman" w:hAnsi="Times New Roman"/>
          <w:b/>
          <w:sz w:val="24"/>
        </w:rPr>
        <w:t>7.</w:t>
      </w:r>
      <w:r w:rsidRPr="00271336">
        <w:tab/>
      </w:r>
      <w:r w:rsidRPr="00271336">
        <w:rPr>
          <w:rFonts w:ascii="Times New Roman" w:hAnsi="Times New Roman"/>
          <w:b/>
          <w:smallCaps/>
          <w:sz w:val="24"/>
        </w:rPr>
        <w:t>Szczegółowe informacje</w:t>
      </w:r>
    </w:p>
    <w:p w:rsidR="009D68D3" w:rsidRPr="00271336" w:rsidRDefault="009D68D3" w:rsidP="009D68D3">
      <w:pPr>
        <w:jc w:val="both"/>
        <w:rPr>
          <w:rFonts w:ascii="Times New Roman" w:hAnsi="Times New Roman"/>
        </w:rPr>
      </w:pPr>
    </w:p>
    <w:p w:rsidR="009D68D3" w:rsidRDefault="009D68D3" w:rsidP="009D68D3">
      <w:pPr>
        <w:pStyle w:val="Text1"/>
        <w:spacing w:after="0"/>
        <w:ind w:left="0"/>
        <w:rPr>
          <w:sz w:val="22"/>
        </w:rPr>
      </w:pPr>
      <w:r w:rsidRPr="00271336">
        <w:rPr>
          <w:sz w:val="22"/>
        </w:rPr>
        <w:t>Pełny tekst wytycznych wraz z formularzami zgłoszeniowymi można znaleźć na stronie internetowej:</w:t>
      </w:r>
    </w:p>
    <w:p w:rsidR="009D68D3" w:rsidRDefault="009D68D3" w:rsidP="009D68D3">
      <w:pPr>
        <w:pStyle w:val="Text1"/>
        <w:spacing w:after="0"/>
        <w:ind w:left="0"/>
        <w:rPr>
          <w:sz w:val="22"/>
        </w:rPr>
      </w:pPr>
    </w:p>
    <w:p w:rsidR="009D68D3" w:rsidRDefault="009B43EC" w:rsidP="009D68D3">
      <w:pPr>
        <w:pStyle w:val="Text1"/>
        <w:spacing w:after="0"/>
        <w:ind w:left="0"/>
        <w:rPr>
          <w:rStyle w:val="Hipercze"/>
          <w:sz w:val="22"/>
          <w:szCs w:val="24"/>
        </w:rPr>
      </w:pPr>
      <w:hyperlink r:id="rId11" w:history="1">
        <w:r w:rsidR="009D68D3" w:rsidRPr="00CC6649">
          <w:rPr>
            <w:rStyle w:val="Hipercze"/>
            <w:sz w:val="22"/>
            <w:szCs w:val="24"/>
          </w:rPr>
          <w:t>https://eacea.ec.europa.eu/creative-europe/funding/support-training-2016-eacea062016_en</w:t>
        </w:r>
      </w:hyperlink>
    </w:p>
    <w:p w:rsidR="009D68D3" w:rsidRPr="00271336" w:rsidRDefault="009D68D3" w:rsidP="009D68D3">
      <w:pPr>
        <w:pStyle w:val="Text1"/>
        <w:spacing w:after="0"/>
        <w:ind w:left="0"/>
        <w:rPr>
          <w:sz w:val="22"/>
          <w:szCs w:val="22"/>
        </w:rPr>
      </w:pPr>
    </w:p>
    <w:p w:rsidR="009D68D3" w:rsidRPr="00271336" w:rsidRDefault="009D68D3" w:rsidP="009D68D3">
      <w:pPr>
        <w:pStyle w:val="Text1"/>
        <w:spacing w:after="0"/>
        <w:ind w:left="0"/>
        <w:rPr>
          <w:sz w:val="22"/>
          <w:szCs w:val="22"/>
        </w:rPr>
      </w:pPr>
      <w:r w:rsidRPr="00271336">
        <w:rPr>
          <w:sz w:val="22"/>
        </w:rPr>
        <w:t>Wnioski muszą spełniać wszystkie warunki określone w wytycznych oraz muszą zostać złożone na udostępnionych formularzach.</w:t>
      </w:r>
    </w:p>
    <w:p w:rsidR="009D68D3" w:rsidRPr="00EC63C1" w:rsidRDefault="009D68D3" w:rsidP="009D68D3">
      <w:pPr>
        <w:pStyle w:val="Text1"/>
        <w:spacing w:after="0"/>
        <w:ind w:left="0"/>
        <w:rPr>
          <w:sz w:val="22"/>
          <w:szCs w:val="22"/>
        </w:rPr>
      </w:pPr>
    </w:p>
    <w:sectPr w:rsidR="009D68D3" w:rsidRPr="00EC63C1" w:rsidSect="00C230F3">
      <w:footerReference w:type="default" r:id="rId12"/>
      <w:pgSz w:w="11907" w:h="16840" w:code="9"/>
      <w:pgMar w:top="1021" w:right="170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EC" w:rsidRDefault="009B43EC">
      <w:r>
        <w:separator/>
      </w:r>
    </w:p>
  </w:endnote>
  <w:endnote w:type="continuationSeparator" w:id="0">
    <w:p w:rsidR="009B43EC" w:rsidRDefault="009B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EA" w:rsidRDefault="00FF00E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A1D">
      <w:rPr>
        <w:noProof/>
      </w:rPr>
      <w:t>1</w:t>
    </w:r>
    <w:r>
      <w:rPr>
        <w:noProof/>
      </w:rPr>
      <w:fldChar w:fldCharType="end"/>
    </w:r>
  </w:p>
  <w:p w:rsidR="00FF00EA" w:rsidRDefault="00FF0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EC" w:rsidRDefault="009B43EC">
      <w:r>
        <w:separator/>
      </w:r>
    </w:p>
  </w:footnote>
  <w:footnote w:type="continuationSeparator" w:id="0">
    <w:p w:rsidR="009B43EC" w:rsidRDefault="009B43EC">
      <w:r>
        <w:continuationSeparator/>
      </w:r>
    </w:p>
  </w:footnote>
  <w:footnote w:id="1">
    <w:p w:rsidR="009D68D3" w:rsidRPr="00E92B18" w:rsidRDefault="009D68D3" w:rsidP="009D68D3">
      <w:pPr>
        <w:pStyle w:val="Tekstprzypisudolnego"/>
      </w:pPr>
      <w:r>
        <w:rPr>
          <w:rStyle w:val="Odwoanieprzypisudolnego"/>
        </w:rPr>
        <w:footnoteRef/>
      </w:r>
      <w:r w:rsidRPr="00E92B18">
        <w:t xml:space="preserve"> </w:t>
      </w:r>
      <w:r>
        <w:t xml:space="preserve"> </w:t>
      </w:r>
      <w:r w:rsidRPr="00E92B18">
        <w:t>Rozporządzenie (UE) nr 1295/2013, Dziennik Urzędowy Unii Europejskiej z 20.12.2013 (Dz.U. L 347/221).</w:t>
      </w:r>
    </w:p>
  </w:footnote>
  <w:footnote w:id="2">
    <w:p w:rsidR="009D68D3" w:rsidRPr="00E92B18" w:rsidRDefault="009D68D3" w:rsidP="009D68D3">
      <w:pPr>
        <w:pStyle w:val="Tekstprzypisudolnego"/>
      </w:pPr>
      <w:r>
        <w:rPr>
          <w:rStyle w:val="Odwoanieprzypisudolnego"/>
        </w:rPr>
        <w:footnoteRef/>
      </w:r>
      <w:r>
        <w:t xml:space="preserve">  Opublikowane w Dzienniku Urzędowym Unii Europejskiej w dniu 27.06.2014 r. (Dz.U. L 189/260).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80A"/>
    <w:multiLevelType w:val="hybridMultilevel"/>
    <w:tmpl w:val="D2B63014"/>
    <w:lvl w:ilvl="0" w:tplc="1256CA5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256CA5A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7FDF"/>
    <w:multiLevelType w:val="hybridMultilevel"/>
    <w:tmpl w:val="FB4E6986"/>
    <w:lvl w:ilvl="0" w:tplc="FDC05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E2F"/>
    <w:multiLevelType w:val="hybridMultilevel"/>
    <w:tmpl w:val="2AD0CCD2"/>
    <w:lvl w:ilvl="0" w:tplc="1256CA5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2DF1"/>
    <w:multiLevelType w:val="hybridMultilevel"/>
    <w:tmpl w:val="40F095C6"/>
    <w:lvl w:ilvl="0" w:tplc="39CE0A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A61E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64A5"/>
    <w:multiLevelType w:val="hybridMultilevel"/>
    <w:tmpl w:val="9D0C416E"/>
    <w:lvl w:ilvl="0" w:tplc="4E347E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8C0554"/>
    <w:multiLevelType w:val="hybridMultilevel"/>
    <w:tmpl w:val="12A0E58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A0E"/>
    <w:multiLevelType w:val="hybridMultilevel"/>
    <w:tmpl w:val="D74C12D6"/>
    <w:lvl w:ilvl="0" w:tplc="0E74D012">
      <w:numFmt w:val="bullet"/>
      <w:lvlText w:val="−"/>
      <w:lvlJc w:val="left"/>
      <w:pPr>
        <w:ind w:left="2008" w:hanging="360"/>
      </w:pPr>
      <w:rPr>
        <w:rFonts w:ascii="Times" w:eastAsia="Times New Roman" w:hAnsi="Times" w:cs="Times New Roman" w:hint="default"/>
      </w:rPr>
    </w:lvl>
    <w:lvl w:ilvl="1" w:tplc="08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3F9E5B07"/>
    <w:multiLevelType w:val="hybridMultilevel"/>
    <w:tmpl w:val="E6ECA9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F6AA5"/>
    <w:multiLevelType w:val="hybridMultilevel"/>
    <w:tmpl w:val="BDE0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3AEE"/>
    <w:multiLevelType w:val="hybridMultilevel"/>
    <w:tmpl w:val="E0C0C8FE"/>
    <w:lvl w:ilvl="0" w:tplc="4E347E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9F32E5"/>
    <w:multiLevelType w:val="hybridMultilevel"/>
    <w:tmpl w:val="8936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C0ABB"/>
    <w:multiLevelType w:val="hybridMultilevel"/>
    <w:tmpl w:val="AE6C01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DC410D1"/>
    <w:multiLevelType w:val="hybridMultilevel"/>
    <w:tmpl w:val="91B8C9F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8"/>
    <w:rsid w:val="00003763"/>
    <w:rsid w:val="000310B3"/>
    <w:rsid w:val="00036098"/>
    <w:rsid w:val="0003782E"/>
    <w:rsid w:val="00046C9E"/>
    <w:rsid w:val="000476BB"/>
    <w:rsid w:val="0005565E"/>
    <w:rsid w:val="00055AB4"/>
    <w:rsid w:val="00061569"/>
    <w:rsid w:val="00063F0C"/>
    <w:rsid w:val="000749EA"/>
    <w:rsid w:val="000855C8"/>
    <w:rsid w:val="000963F4"/>
    <w:rsid w:val="000C0B98"/>
    <w:rsid w:val="000D0A56"/>
    <w:rsid w:val="000F73B9"/>
    <w:rsid w:val="00104654"/>
    <w:rsid w:val="00116133"/>
    <w:rsid w:val="00122A7F"/>
    <w:rsid w:val="00135682"/>
    <w:rsid w:val="001438D8"/>
    <w:rsid w:val="001462A1"/>
    <w:rsid w:val="00147BB1"/>
    <w:rsid w:val="0015611F"/>
    <w:rsid w:val="00183D9D"/>
    <w:rsid w:val="001A3550"/>
    <w:rsid w:val="001B7656"/>
    <w:rsid w:val="002110B2"/>
    <w:rsid w:val="00221FFE"/>
    <w:rsid w:val="002346E9"/>
    <w:rsid w:val="0024057C"/>
    <w:rsid w:val="00243A41"/>
    <w:rsid w:val="00245FDB"/>
    <w:rsid w:val="00250A9D"/>
    <w:rsid w:val="00257EC1"/>
    <w:rsid w:val="002707DD"/>
    <w:rsid w:val="002842CB"/>
    <w:rsid w:val="002A040D"/>
    <w:rsid w:val="002A0B9E"/>
    <w:rsid w:val="002A4FD0"/>
    <w:rsid w:val="002B1284"/>
    <w:rsid w:val="002B6FF4"/>
    <w:rsid w:val="002C2E10"/>
    <w:rsid w:val="002C74CB"/>
    <w:rsid w:val="002D1DD0"/>
    <w:rsid w:val="002D39EA"/>
    <w:rsid w:val="002F1F9B"/>
    <w:rsid w:val="00316868"/>
    <w:rsid w:val="003213B7"/>
    <w:rsid w:val="00323009"/>
    <w:rsid w:val="00327E52"/>
    <w:rsid w:val="0034588A"/>
    <w:rsid w:val="00347BE9"/>
    <w:rsid w:val="00354184"/>
    <w:rsid w:val="003753D9"/>
    <w:rsid w:val="00383280"/>
    <w:rsid w:val="003A2A08"/>
    <w:rsid w:val="003D45F1"/>
    <w:rsid w:val="003E7148"/>
    <w:rsid w:val="003F4CE7"/>
    <w:rsid w:val="00411995"/>
    <w:rsid w:val="00414C86"/>
    <w:rsid w:val="00423684"/>
    <w:rsid w:val="00434D74"/>
    <w:rsid w:val="004404E8"/>
    <w:rsid w:val="004422D0"/>
    <w:rsid w:val="004438BA"/>
    <w:rsid w:val="00443E8A"/>
    <w:rsid w:val="004448E9"/>
    <w:rsid w:val="004618E6"/>
    <w:rsid w:val="00494C33"/>
    <w:rsid w:val="004A024F"/>
    <w:rsid w:val="004C5F76"/>
    <w:rsid w:val="004C746F"/>
    <w:rsid w:val="004C7D98"/>
    <w:rsid w:val="00513D3B"/>
    <w:rsid w:val="0052356C"/>
    <w:rsid w:val="00525F54"/>
    <w:rsid w:val="00530A46"/>
    <w:rsid w:val="0057209C"/>
    <w:rsid w:val="00574A1D"/>
    <w:rsid w:val="00580D17"/>
    <w:rsid w:val="005864C2"/>
    <w:rsid w:val="005A4CD8"/>
    <w:rsid w:val="005A70B3"/>
    <w:rsid w:val="005B67BD"/>
    <w:rsid w:val="005C5E29"/>
    <w:rsid w:val="005E62A2"/>
    <w:rsid w:val="005E6413"/>
    <w:rsid w:val="005F0545"/>
    <w:rsid w:val="005F7F3A"/>
    <w:rsid w:val="0062350B"/>
    <w:rsid w:val="0062603B"/>
    <w:rsid w:val="00630BA3"/>
    <w:rsid w:val="006367DD"/>
    <w:rsid w:val="006771AA"/>
    <w:rsid w:val="00684078"/>
    <w:rsid w:val="00687031"/>
    <w:rsid w:val="0069688D"/>
    <w:rsid w:val="006C76A8"/>
    <w:rsid w:val="006D73A9"/>
    <w:rsid w:val="006E48CA"/>
    <w:rsid w:val="006F68BC"/>
    <w:rsid w:val="0071567C"/>
    <w:rsid w:val="00723856"/>
    <w:rsid w:val="007248A5"/>
    <w:rsid w:val="00743E90"/>
    <w:rsid w:val="00746CFB"/>
    <w:rsid w:val="00770401"/>
    <w:rsid w:val="0077737A"/>
    <w:rsid w:val="007B2BCF"/>
    <w:rsid w:val="007B6E39"/>
    <w:rsid w:val="007C2BC3"/>
    <w:rsid w:val="007F58BB"/>
    <w:rsid w:val="00806A84"/>
    <w:rsid w:val="00807C4B"/>
    <w:rsid w:val="008123E8"/>
    <w:rsid w:val="00820682"/>
    <w:rsid w:val="00835921"/>
    <w:rsid w:val="00845029"/>
    <w:rsid w:val="0087201E"/>
    <w:rsid w:val="0087403A"/>
    <w:rsid w:val="00875278"/>
    <w:rsid w:val="008944B8"/>
    <w:rsid w:val="00895F15"/>
    <w:rsid w:val="008B0C4C"/>
    <w:rsid w:val="008C57C4"/>
    <w:rsid w:val="008C7F41"/>
    <w:rsid w:val="008E0400"/>
    <w:rsid w:val="008E4D4E"/>
    <w:rsid w:val="00905449"/>
    <w:rsid w:val="009147FD"/>
    <w:rsid w:val="00934E2C"/>
    <w:rsid w:val="00941A95"/>
    <w:rsid w:val="009453D0"/>
    <w:rsid w:val="00953614"/>
    <w:rsid w:val="0096476E"/>
    <w:rsid w:val="009772B0"/>
    <w:rsid w:val="00980C1E"/>
    <w:rsid w:val="00980F61"/>
    <w:rsid w:val="0098410E"/>
    <w:rsid w:val="009A4F03"/>
    <w:rsid w:val="009B43EC"/>
    <w:rsid w:val="009C03D9"/>
    <w:rsid w:val="009C3BC3"/>
    <w:rsid w:val="009C5633"/>
    <w:rsid w:val="009D68D3"/>
    <w:rsid w:val="009D6F04"/>
    <w:rsid w:val="009E6418"/>
    <w:rsid w:val="009E6B64"/>
    <w:rsid w:val="009F5EBF"/>
    <w:rsid w:val="00A01DA0"/>
    <w:rsid w:val="00A07DF4"/>
    <w:rsid w:val="00A110EA"/>
    <w:rsid w:val="00A21468"/>
    <w:rsid w:val="00A30300"/>
    <w:rsid w:val="00A37EB9"/>
    <w:rsid w:val="00A41A14"/>
    <w:rsid w:val="00A4667C"/>
    <w:rsid w:val="00A56927"/>
    <w:rsid w:val="00A941D7"/>
    <w:rsid w:val="00AB0B5A"/>
    <w:rsid w:val="00AC107C"/>
    <w:rsid w:val="00B11E0F"/>
    <w:rsid w:val="00B121BC"/>
    <w:rsid w:val="00B24A1D"/>
    <w:rsid w:val="00B31CD2"/>
    <w:rsid w:val="00B31EB4"/>
    <w:rsid w:val="00B41508"/>
    <w:rsid w:val="00B46A4A"/>
    <w:rsid w:val="00B7685E"/>
    <w:rsid w:val="00B91F0C"/>
    <w:rsid w:val="00B923CD"/>
    <w:rsid w:val="00BA289B"/>
    <w:rsid w:val="00BB3889"/>
    <w:rsid w:val="00BC62E9"/>
    <w:rsid w:val="00BD0BDF"/>
    <w:rsid w:val="00BD37E6"/>
    <w:rsid w:val="00BE45DE"/>
    <w:rsid w:val="00C00A6D"/>
    <w:rsid w:val="00C033A5"/>
    <w:rsid w:val="00C07962"/>
    <w:rsid w:val="00C230F3"/>
    <w:rsid w:val="00C346D0"/>
    <w:rsid w:val="00C50FA0"/>
    <w:rsid w:val="00C6297A"/>
    <w:rsid w:val="00C63546"/>
    <w:rsid w:val="00C8373B"/>
    <w:rsid w:val="00C905A1"/>
    <w:rsid w:val="00C905A4"/>
    <w:rsid w:val="00C90ECB"/>
    <w:rsid w:val="00C96D34"/>
    <w:rsid w:val="00C9745B"/>
    <w:rsid w:val="00CC7636"/>
    <w:rsid w:val="00CC7A53"/>
    <w:rsid w:val="00CD42C8"/>
    <w:rsid w:val="00CE4616"/>
    <w:rsid w:val="00D07D7D"/>
    <w:rsid w:val="00D11CC0"/>
    <w:rsid w:val="00D15870"/>
    <w:rsid w:val="00D31662"/>
    <w:rsid w:val="00D432F0"/>
    <w:rsid w:val="00D433FD"/>
    <w:rsid w:val="00D45422"/>
    <w:rsid w:val="00D926FD"/>
    <w:rsid w:val="00DA1B16"/>
    <w:rsid w:val="00DA5A82"/>
    <w:rsid w:val="00DF63A5"/>
    <w:rsid w:val="00E101C2"/>
    <w:rsid w:val="00E1253A"/>
    <w:rsid w:val="00E13521"/>
    <w:rsid w:val="00E20E0D"/>
    <w:rsid w:val="00E24B90"/>
    <w:rsid w:val="00E25379"/>
    <w:rsid w:val="00E304AA"/>
    <w:rsid w:val="00E30D8F"/>
    <w:rsid w:val="00E365D4"/>
    <w:rsid w:val="00E408EC"/>
    <w:rsid w:val="00E444F0"/>
    <w:rsid w:val="00E525F5"/>
    <w:rsid w:val="00E52C1F"/>
    <w:rsid w:val="00E54E77"/>
    <w:rsid w:val="00E95235"/>
    <w:rsid w:val="00E978E9"/>
    <w:rsid w:val="00EA1E38"/>
    <w:rsid w:val="00EA2169"/>
    <w:rsid w:val="00EB32F4"/>
    <w:rsid w:val="00EB75A5"/>
    <w:rsid w:val="00EC3641"/>
    <w:rsid w:val="00EC38E3"/>
    <w:rsid w:val="00EC63C1"/>
    <w:rsid w:val="00ED318F"/>
    <w:rsid w:val="00EF3D64"/>
    <w:rsid w:val="00F07A2D"/>
    <w:rsid w:val="00F111A6"/>
    <w:rsid w:val="00F1532B"/>
    <w:rsid w:val="00F26C8D"/>
    <w:rsid w:val="00F36BAA"/>
    <w:rsid w:val="00F3710E"/>
    <w:rsid w:val="00F41E94"/>
    <w:rsid w:val="00F76061"/>
    <w:rsid w:val="00F911A6"/>
    <w:rsid w:val="00F93F26"/>
    <w:rsid w:val="00FA7093"/>
    <w:rsid w:val="00FC1F75"/>
    <w:rsid w:val="00FF00E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10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22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684078"/>
    <w:pPr>
      <w:spacing w:after="240"/>
      <w:ind w:left="482"/>
      <w:jc w:val="both"/>
    </w:pPr>
    <w:rPr>
      <w:rFonts w:ascii="Times New Roman" w:hAnsi="Times New Roman"/>
      <w:sz w:val="24"/>
      <w:szCs w:val="20"/>
    </w:rPr>
  </w:style>
  <w:style w:type="character" w:styleId="Hipercze">
    <w:name w:val="Hyperlink"/>
    <w:rsid w:val="00C346D0"/>
    <w:rPr>
      <w:color w:val="0000FF"/>
      <w:u w:val="single"/>
    </w:rPr>
  </w:style>
  <w:style w:type="paragraph" w:styleId="Tekstdymka">
    <w:name w:val="Balloon Text"/>
    <w:basedOn w:val="Normalny"/>
    <w:semiHidden/>
    <w:rsid w:val="00F11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1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18E6"/>
    <w:pPr>
      <w:tabs>
        <w:tab w:val="center" w:pos="4536"/>
        <w:tab w:val="right" w:pos="9072"/>
      </w:tabs>
    </w:pPr>
  </w:style>
  <w:style w:type="character" w:styleId="UyteHipercze">
    <w:name w:val="FollowedHyperlink"/>
    <w:rsid w:val="005A70B3"/>
    <w:rPr>
      <w:color w:val="800080"/>
      <w:u w:val="single"/>
    </w:rPr>
  </w:style>
  <w:style w:type="paragraph" w:styleId="Tekstprzypisudolnego">
    <w:name w:val="footnote text"/>
    <w:aliases w:val="Schriftart: 9 pt,Schriftart: 10 pt,Schriftart: 8 pt,WB-Fußnotentext,Tekst przypisu"/>
    <w:basedOn w:val="Normalny"/>
    <w:link w:val="TekstprzypisudolnegoZnak"/>
    <w:rsid w:val="0031686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Tekst przypisu Znak"/>
    <w:basedOn w:val="Domylnaczcionkaakapitu"/>
    <w:link w:val="Tekstprzypisudolnego"/>
    <w:rsid w:val="00316868"/>
  </w:style>
  <w:style w:type="character" w:styleId="Odwoanieprzypisudolnego">
    <w:name w:val="footnote reference"/>
    <w:aliases w:val="Odwołanie przypisu,Footnote symbol"/>
    <w:rsid w:val="00316868"/>
    <w:rPr>
      <w:rFonts w:cs="Times New Roman"/>
      <w:vertAlign w:val="superscript"/>
    </w:rPr>
  </w:style>
  <w:style w:type="paragraph" w:customStyle="1" w:styleId="PointManual1">
    <w:name w:val="Point Manual (1)"/>
    <w:basedOn w:val="Normalny"/>
    <w:rsid w:val="00316868"/>
    <w:pPr>
      <w:spacing w:before="120" w:after="120" w:line="360" w:lineRule="auto"/>
      <w:ind w:left="1134" w:hanging="567"/>
      <w:outlineLvl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55AB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ectionTitle">
    <w:name w:val="SectionTitle"/>
    <w:basedOn w:val="Normalny"/>
    <w:next w:val="Nagwek1"/>
    <w:rsid w:val="00A110EA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</w:rPr>
  </w:style>
  <w:style w:type="character" w:customStyle="1" w:styleId="Nagwek1Znak">
    <w:name w:val="Nagłówek 1 Znak"/>
    <w:link w:val="Nagwek1"/>
    <w:rsid w:val="00A110E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4422D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rsid w:val="00FF00EA"/>
    <w:rPr>
      <w:rFonts w:ascii="Arial" w:hAnsi="Arial"/>
      <w:sz w:val="22"/>
      <w:szCs w:val="22"/>
      <w:lang w:eastAsia="pl-PL"/>
    </w:rPr>
  </w:style>
  <w:style w:type="paragraph" w:customStyle="1" w:styleId="Tiretcourt">
    <w:name w:val="Tiret court"/>
    <w:basedOn w:val="Normalny"/>
    <w:rsid w:val="00EC63C1"/>
    <w:pPr>
      <w:spacing w:after="120"/>
      <w:jc w:val="both"/>
    </w:pPr>
    <w:rPr>
      <w:rFonts w:ascii="Times New Roman" w:eastAsia="Calibri" w:hAnsi="Times New Roman"/>
    </w:rPr>
  </w:style>
  <w:style w:type="paragraph" w:customStyle="1" w:styleId="ListNumber1">
    <w:name w:val="List Number1"/>
    <w:basedOn w:val="Normalny"/>
    <w:rsid w:val="00EC63C1"/>
    <w:pPr>
      <w:jc w:val="both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10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22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684078"/>
    <w:pPr>
      <w:spacing w:after="240"/>
      <w:ind w:left="482"/>
      <w:jc w:val="both"/>
    </w:pPr>
    <w:rPr>
      <w:rFonts w:ascii="Times New Roman" w:hAnsi="Times New Roman"/>
      <w:sz w:val="24"/>
      <w:szCs w:val="20"/>
    </w:rPr>
  </w:style>
  <w:style w:type="character" w:styleId="Hipercze">
    <w:name w:val="Hyperlink"/>
    <w:rsid w:val="00C346D0"/>
    <w:rPr>
      <w:color w:val="0000FF"/>
      <w:u w:val="single"/>
    </w:rPr>
  </w:style>
  <w:style w:type="paragraph" w:styleId="Tekstdymka">
    <w:name w:val="Balloon Text"/>
    <w:basedOn w:val="Normalny"/>
    <w:semiHidden/>
    <w:rsid w:val="00F11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1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18E6"/>
    <w:pPr>
      <w:tabs>
        <w:tab w:val="center" w:pos="4536"/>
        <w:tab w:val="right" w:pos="9072"/>
      </w:tabs>
    </w:pPr>
  </w:style>
  <w:style w:type="character" w:styleId="UyteHipercze">
    <w:name w:val="FollowedHyperlink"/>
    <w:rsid w:val="005A70B3"/>
    <w:rPr>
      <w:color w:val="800080"/>
      <w:u w:val="single"/>
    </w:rPr>
  </w:style>
  <w:style w:type="paragraph" w:styleId="Tekstprzypisudolnego">
    <w:name w:val="footnote text"/>
    <w:aliases w:val="Schriftart: 9 pt,Schriftart: 10 pt,Schriftart: 8 pt,WB-Fußnotentext,Tekst przypisu"/>
    <w:basedOn w:val="Normalny"/>
    <w:link w:val="TekstprzypisudolnegoZnak"/>
    <w:rsid w:val="0031686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Tekst przypisu Znak"/>
    <w:basedOn w:val="Domylnaczcionkaakapitu"/>
    <w:link w:val="Tekstprzypisudolnego"/>
    <w:rsid w:val="00316868"/>
  </w:style>
  <w:style w:type="character" w:styleId="Odwoanieprzypisudolnego">
    <w:name w:val="footnote reference"/>
    <w:aliases w:val="Odwołanie przypisu,Footnote symbol"/>
    <w:rsid w:val="00316868"/>
    <w:rPr>
      <w:rFonts w:cs="Times New Roman"/>
      <w:vertAlign w:val="superscript"/>
    </w:rPr>
  </w:style>
  <w:style w:type="paragraph" w:customStyle="1" w:styleId="PointManual1">
    <w:name w:val="Point Manual (1)"/>
    <w:basedOn w:val="Normalny"/>
    <w:rsid w:val="00316868"/>
    <w:pPr>
      <w:spacing w:before="120" w:after="120" w:line="360" w:lineRule="auto"/>
      <w:ind w:left="1134" w:hanging="567"/>
      <w:outlineLvl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55AB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ectionTitle">
    <w:name w:val="SectionTitle"/>
    <w:basedOn w:val="Normalny"/>
    <w:next w:val="Nagwek1"/>
    <w:rsid w:val="00A110EA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</w:rPr>
  </w:style>
  <w:style w:type="character" w:customStyle="1" w:styleId="Nagwek1Znak">
    <w:name w:val="Nagłówek 1 Znak"/>
    <w:link w:val="Nagwek1"/>
    <w:rsid w:val="00A110E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4422D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rsid w:val="00FF00EA"/>
    <w:rPr>
      <w:rFonts w:ascii="Arial" w:hAnsi="Arial"/>
      <w:sz w:val="22"/>
      <w:szCs w:val="22"/>
      <w:lang w:eastAsia="pl-PL"/>
    </w:rPr>
  </w:style>
  <w:style w:type="paragraph" w:customStyle="1" w:styleId="Tiretcourt">
    <w:name w:val="Tiret court"/>
    <w:basedOn w:val="Normalny"/>
    <w:rsid w:val="00EC63C1"/>
    <w:pPr>
      <w:spacing w:after="120"/>
      <w:jc w:val="both"/>
    </w:pPr>
    <w:rPr>
      <w:rFonts w:ascii="Times New Roman" w:eastAsia="Calibri" w:hAnsi="Times New Roman"/>
    </w:rPr>
  </w:style>
  <w:style w:type="paragraph" w:customStyle="1" w:styleId="ListNumber1">
    <w:name w:val="List Number1"/>
    <w:basedOn w:val="Normalny"/>
    <w:rsid w:val="00EC63C1"/>
    <w:pPr>
      <w:jc w:val="both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cea.ec.europa.eu/creative-europe/funding/support-training-2016-eacea062016_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cea.ec.europa.eu/creative-europe/library/eligibility-organisations-non-eu-countries_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A760-AF70-4FAC-AE42-5DF1C7D4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TENDERS – EACEA No</vt:lpstr>
      <vt:lpstr>CALL FOR TENDERS – EACEA No</vt:lpstr>
    </vt:vector>
  </TitlesOfParts>
  <Company>Translation Centre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TENDERS – EACEA No</dc:title>
  <dc:creator>Translation Centre</dc:creator>
  <dc:description>English translation by Euronet</dc:description>
  <cp:lastModifiedBy>Weronika Rosa</cp:lastModifiedBy>
  <cp:revision>2</cp:revision>
  <cp:lastPrinted>2014-09-23T14:19:00Z</cp:lastPrinted>
  <dcterms:created xsi:type="dcterms:W3CDTF">2016-02-05T09:12:00Z</dcterms:created>
  <dcterms:modified xsi:type="dcterms:W3CDTF">2016-02-05T09:12:00Z</dcterms:modified>
</cp:coreProperties>
</file>